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7A2" w:rsidRPr="00B507A2" w:rsidRDefault="008D7596" w:rsidP="008D7596">
      <w:pPr>
        <w:widowControl/>
        <w:shd w:val="clear" w:color="auto" w:fill="FFFFFF"/>
        <w:spacing w:line="420" w:lineRule="atLeast"/>
        <w:jc w:val="left"/>
        <w:rPr>
          <w:rFonts w:ascii="Arial" w:eastAsia="宋体" w:hAnsi="Arial" w:cs="Arial"/>
          <w:color w:val="333333"/>
          <w:spacing w:val="8"/>
          <w:kern w:val="0"/>
          <w:sz w:val="26"/>
          <w:szCs w:val="26"/>
        </w:rPr>
      </w:pPr>
      <w:r>
        <w:rPr>
          <w:rFonts w:ascii="Arial" w:eastAsia="宋体" w:hAnsi="Arial" w:cs="Arial"/>
          <w:b/>
          <w:bCs/>
          <w:color w:val="333333"/>
          <w:spacing w:val="8"/>
          <w:kern w:val="0"/>
          <w:sz w:val="26"/>
          <w:szCs w:val="26"/>
        </w:rPr>
        <w:t>附件</w:t>
      </w:r>
      <w:r>
        <w:rPr>
          <w:rFonts w:ascii="Arial" w:eastAsia="宋体" w:hAnsi="Arial" w:cs="Arial" w:hint="eastAsia"/>
          <w:b/>
          <w:bCs/>
          <w:color w:val="333333"/>
          <w:spacing w:val="8"/>
          <w:kern w:val="0"/>
          <w:sz w:val="26"/>
          <w:szCs w:val="26"/>
        </w:rPr>
        <w:t>：</w:t>
      </w:r>
      <w:r w:rsidR="00B507A2" w:rsidRPr="00B507A2">
        <w:rPr>
          <w:rFonts w:ascii="Arial" w:eastAsia="宋体" w:hAnsi="Arial" w:cs="Arial"/>
          <w:b/>
          <w:bCs/>
          <w:color w:val="333333"/>
          <w:spacing w:val="8"/>
          <w:kern w:val="0"/>
          <w:sz w:val="26"/>
          <w:szCs w:val="26"/>
        </w:rPr>
        <w:t>移动物联</w:t>
      </w:r>
      <w:bookmarkStart w:id="0" w:name="_GoBack"/>
      <w:bookmarkEnd w:id="0"/>
      <w:r w:rsidR="00B507A2" w:rsidRPr="00B507A2">
        <w:rPr>
          <w:rFonts w:ascii="Arial" w:eastAsia="宋体" w:hAnsi="Arial" w:cs="Arial"/>
          <w:b/>
          <w:bCs/>
          <w:color w:val="333333"/>
          <w:spacing w:val="8"/>
          <w:kern w:val="0"/>
          <w:sz w:val="26"/>
          <w:szCs w:val="26"/>
        </w:rPr>
        <w:t>网发展指数模型</w:t>
      </w:r>
    </w:p>
    <w:tbl>
      <w:tblPr>
        <w:tblpPr w:leftFromText="180" w:rightFromText="180" w:horzAnchor="margin" w:tblpX="-717" w:tblpY="660"/>
        <w:tblW w:w="9915" w:type="dxa"/>
        <w:shd w:val="clear" w:color="auto" w:fill="FFFFFF"/>
        <w:tblCellMar>
          <w:left w:w="0" w:type="dxa"/>
          <w:right w:w="0" w:type="dxa"/>
        </w:tblCellMar>
        <w:tblLook w:val="04A0" w:firstRow="1" w:lastRow="0" w:firstColumn="1" w:lastColumn="0" w:noHBand="0" w:noVBand="1"/>
      </w:tblPr>
      <w:tblGrid>
        <w:gridCol w:w="701"/>
        <w:gridCol w:w="1134"/>
        <w:gridCol w:w="4394"/>
        <w:gridCol w:w="3686"/>
      </w:tblGrid>
      <w:tr w:rsidR="00B507A2" w:rsidRPr="00B507A2" w:rsidTr="00B507A2">
        <w:trPr>
          <w:trHeight w:val="485"/>
        </w:trPr>
        <w:tc>
          <w:tcPr>
            <w:tcW w:w="701" w:type="dxa"/>
            <w:tcBorders>
              <w:top w:val="single" w:sz="6" w:space="0" w:color="000000"/>
              <w:left w:val="single" w:sz="6" w:space="0" w:color="000000"/>
              <w:bottom w:val="single" w:sz="6" w:space="0" w:color="000000"/>
              <w:right w:val="single" w:sz="6" w:space="0" w:color="000000"/>
            </w:tcBorders>
            <w:shd w:val="clear" w:color="auto" w:fill="4F81BD"/>
            <w:tcMar>
              <w:top w:w="0" w:type="dxa"/>
              <w:left w:w="105" w:type="dxa"/>
              <w:bottom w:w="0" w:type="dxa"/>
              <w:right w:w="105" w:type="dxa"/>
            </w:tcMar>
            <w:vAlign w:val="center"/>
            <w:hideMark/>
          </w:tcPr>
          <w:p w:rsidR="00B507A2" w:rsidRPr="00B507A2" w:rsidRDefault="00B507A2" w:rsidP="00B507A2">
            <w:pPr>
              <w:widowControl/>
              <w:wordWrap w:val="0"/>
              <w:spacing w:line="360" w:lineRule="atLeast"/>
              <w:jc w:val="center"/>
              <w:rPr>
                <w:rFonts w:ascii="Microsoft YaHei UI" w:eastAsia="Microsoft YaHei UI" w:hAnsi="Microsoft YaHei UI" w:cs="宋体"/>
                <w:color w:val="333333"/>
                <w:spacing w:val="8"/>
                <w:kern w:val="0"/>
                <w:sz w:val="24"/>
                <w:szCs w:val="24"/>
              </w:rPr>
            </w:pPr>
            <w:r w:rsidRPr="00B507A2">
              <w:rPr>
                <w:rFonts w:ascii="微软雅黑" w:eastAsia="微软雅黑" w:hAnsi="微软雅黑" w:cs="宋体" w:hint="eastAsia"/>
                <w:b/>
                <w:bCs/>
                <w:color w:val="FFFFFF"/>
                <w:kern w:val="0"/>
                <w:sz w:val="18"/>
                <w:szCs w:val="18"/>
              </w:rPr>
              <w:t>序号</w:t>
            </w:r>
          </w:p>
        </w:tc>
        <w:tc>
          <w:tcPr>
            <w:tcW w:w="1134" w:type="dxa"/>
            <w:tcBorders>
              <w:top w:val="single" w:sz="6" w:space="0" w:color="000000"/>
              <w:left w:val="nil"/>
              <w:bottom w:val="single" w:sz="6" w:space="0" w:color="000000"/>
              <w:right w:val="single" w:sz="6" w:space="0" w:color="000000"/>
            </w:tcBorders>
            <w:shd w:val="clear" w:color="auto" w:fill="4F81BD"/>
            <w:tcMar>
              <w:top w:w="0" w:type="dxa"/>
              <w:left w:w="105" w:type="dxa"/>
              <w:bottom w:w="0" w:type="dxa"/>
              <w:right w:w="105" w:type="dxa"/>
            </w:tcMar>
            <w:vAlign w:val="center"/>
            <w:hideMark/>
          </w:tcPr>
          <w:p w:rsidR="00B507A2" w:rsidRPr="00B507A2" w:rsidRDefault="00B507A2" w:rsidP="00B507A2">
            <w:pPr>
              <w:widowControl/>
              <w:wordWrap w:val="0"/>
              <w:spacing w:line="360" w:lineRule="atLeast"/>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b/>
                <w:bCs/>
                <w:color w:val="FFFFFF"/>
                <w:kern w:val="0"/>
                <w:sz w:val="18"/>
                <w:szCs w:val="18"/>
              </w:rPr>
              <w:t>指标维度</w:t>
            </w:r>
          </w:p>
        </w:tc>
        <w:tc>
          <w:tcPr>
            <w:tcW w:w="4394" w:type="dxa"/>
            <w:tcBorders>
              <w:top w:val="single" w:sz="6" w:space="0" w:color="000000"/>
              <w:left w:val="nil"/>
              <w:bottom w:val="single" w:sz="6" w:space="0" w:color="000000"/>
              <w:right w:val="single" w:sz="6" w:space="0" w:color="000000"/>
            </w:tcBorders>
            <w:shd w:val="clear" w:color="auto" w:fill="4F81BD"/>
            <w:tcMar>
              <w:top w:w="0" w:type="dxa"/>
              <w:left w:w="105" w:type="dxa"/>
              <w:bottom w:w="0" w:type="dxa"/>
              <w:right w:w="105" w:type="dxa"/>
            </w:tcMar>
            <w:vAlign w:val="center"/>
            <w:hideMark/>
          </w:tcPr>
          <w:p w:rsidR="00B507A2" w:rsidRPr="00B507A2" w:rsidRDefault="00B507A2" w:rsidP="00B507A2">
            <w:pPr>
              <w:widowControl/>
              <w:wordWrap w:val="0"/>
              <w:spacing w:line="360" w:lineRule="atLeast"/>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b/>
                <w:bCs/>
                <w:color w:val="FFFFFF"/>
                <w:kern w:val="0"/>
                <w:sz w:val="18"/>
                <w:szCs w:val="18"/>
              </w:rPr>
              <w:t>二级指标项</w:t>
            </w:r>
          </w:p>
        </w:tc>
        <w:tc>
          <w:tcPr>
            <w:tcW w:w="3686" w:type="dxa"/>
            <w:tcBorders>
              <w:top w:val="single" w:sz="6" w:space="0" w:color="000000"/>
              <w:left w:val="nil"/>
              <w:bottom w:val="single" w:sz="6" w:space="0" w:color="000000"/>
              <w:right w:val="single" w:sz="6" w:space="0" w:color="000000"/>
            </w:tcBorders>
            <w:shd w:val="clear" w:color="auto" w:fill="4F81BD"/>
            <w:tcMar>
              <w:top w:w="0" w:type="dxa"/>
              <w:left w:w="105" w:type="dxa"/>
              <w:bottom w:w="0" w:type="dxa"/>
              <w:right w:w="105" w:type="dxa"/>
            </w:tcMar>
            <w:vAlign w:val="center"/>
            <w:hideMark/>
          </w:tcPr>
          <w:p w:rsidR="00B507A2" w:rsidRPr="00B507A2" w:rsidRDefault="00B507A2" w:rsidP="00B507A2">
            <w:pPr>
              <w:widowControl/>
              <w:wordWrap w:val="0"/>
              <w:spacing w:line="360" w:lineRule="atLeast"/>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b/>
                <w:bCs/>
                <w:color w:val="FFFFFF"/>
                <w:kern w:val="0"/>
                <w:sz w:val="18"/>
                <w:szCs w:val="18"/>
              </w:rPr>
              <w:t>定义</w:t>
            </w:r>
          </w:p>
        </w:tc>
      </w:tr>
      <w:tr w:rsidR="00B507A2" w:rsidRPr="00B507A2" w:rsidTr="00B507A2">
        <w:trPr>
          <w:trHeight w:val="618"/>
        </w:trPr>
        <w:tc>
          <w:tcPr>
            <w:tcW w:w="70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spacing w:line="360" w:lineRule="atLeast"/>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b/>
                <w:bCs/>
                <w:color w:val="000000"/>
                <w:kern w:val="0"/>
                <w:sz w:val="18"/>
                <w:szCs w:val="18"/>
              </w:rPr>
              <w:t>1</w:t>
            </w:r>
          </w:p>
        </w:tc>
        <w:tc>
          <w:tcPr>
            <w:tcW w:w="1134"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b/>
                <w:bCs/>
                <w:color w:val="000000"/>
                <w:kern w:val="0"/>
                <w:sz w:val="18"/>
                <w:szCs w:val="18"/>
              </w:rPr>
              <w:t>政策支持</w:t>
            </w:r>
          </w:p>
        </w:tc>
        <w:tc>
          <w:tcPr>
            <w:tcW w:w="439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color w:val="000000"/>
                <w:kern w:val="0"/>
                <w:sz w:val="18"/>
                <w:szCs w:val="18"/>
              </w:rPr>
              <w:t>移动物联网产业发展战略、规划、政策数量</w:t>
            </w:r>
          </w:p>
        </w:tc>
        <w:tc>
          <w:tcPr>
            <w:tcW w:w="368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color w:val="000000"/>
                <w:kern w:val="0"/>
                <w:sz w:val="18"/>
                <w:szCs w:val="18"/>
              </w:rPr>
              <w:t>省级政府部门出台的关于移动物联网产业发展战略、发展规划和发展政策</w:t>
            </w:r>
          </w:p>
        </w:tc>
      </w:tr>
      <w:tr w:rsidR="00B507A2" w:rsidRPr="00B507A2" w:rsidTr="00B507A2">
        <w:trPr>
          <w:trHeight w:val="471"/>
        </w:trPr>
        <w:tc>
          <w:tcPr>
            <w:tcW w:w="70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spacing w:line="360" w:lineRule="atLeast"/>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b/>
                <w:bCs/>
                <w:color w:val="000000"/>
                <w:kern w:val="0"/>
                <w:sz w:val="18"/>
                <w:szCs w:val="18"/>
              </w:rPr>
              <w:t>2</w:t>
            </w:r>
          </w:p>
        </w:tc>
        <w:tc>
          <w:tcPr>
            <w:tcW w:w="1134" w:type="dxa"/>
            <w:vMerge/>
            <w:tcBorders>
              <w:top w:val="nil"/>
              <w:left w:val="nil"/>
              <w:bottom w:val="single" w:sz="6" w:space="0" w:color="000000"/>
              <w:right w:val="single" w:sz="6" w:space="0" w:color="000000"/>
            </w:tcBorders>
            <w:shd w:val="clear" w:color="auto" w:fill="FFFFFF"/>
            <w:vAlign w:val="center"/>
            <w:hideMark/>
          </w:tcPr>
          <w:p w:rsidR="00B507A2" w:rsidRPr="00B507A2" w:rsidRDefault="00B507A2" w:rsidP="00B507A2">
            <w:pPr>
              <w:widowControl/>
              <w:rPr>
                <w:rFonts w:ascii="Microsoft YaHei UI" w:eastAsia="Microsoft YaHei UI" w:hAnsi="Microsoft YaHei UI" w:cs="宋体"/>
                <w:color w:val="333333"/>
                <w:spacing w:val="8"/>
                <w:kern w:val="0"/>
                <w:sz w:val="24"/>
                <w:szCs w:val="24"/>
              </w:rPr>
            </w:pPr>
          </w:p>
        </w:tc>
        <w:tc>
          <w:tcPr>
            <w:tcW w:w="439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color w:val="000000"/>
                <w:kern w:val="0"/>
                <w:sz w:val="18"/>
                <w:szCs w:val="18"/>
              </w:rPr>
              <w:t>政府对移动物联网产业投入资金数量</w:t>
            </w:r>
          </w:p>
        </w:tc>
        <w:tc>
          <w:tcPr>
            <w:tcW w:w="368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color w:val="000000"/>
                <w:kern w:val="0"/>
                <w:sz w:val="18"/>
                <w:szCs w:val="18"/>
              </w:rPr>
              <w:t>政府对移动物联网的直接扶持资金（含减税等）与各省GDP的比值</w:t>
            </w:r>
          </w:p>
        </w:tc>
      </w:tr>
      <w:tr w:rsidR="00B507A2" w:rsidRPr="00B507A2" w:rsidTr="00B507A2">
        <w:trPr>
          <w:trHeight w:val="456"/>
        </w:trPr>
        <w:tc>
          <w:tcPr>
            <w:tcW w:w="70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spacing w:line="360" w:lineRule="atLeast"/>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b/>
                <w:bCs/>
                <w:color w:val="000000"/>
                <w:kern w:val="0"/>
                <w:sz w:val="18"/>
                <w:szCs w:val="18"/>
              </w:rPr>
              <w:t>3</w:t>
            </w:r>
          </w:p>
        </w:tc>
        <w:tc>
          <w:tcPr>
            <w:tcW w:w="1134" w:type="dxa"/>
            <w:vMerge/>
            <w:tcBorders>
              <w:top w:val="nil"/>
              <w:left w:val="nil"/>
              <w:bottom w:val="single" w:sz="6" w:space="0" w:color="000000"/>
              <w:right w:val="single" w:sz="6" w:space="0" w:color="000000"/>
            </w:tcBorders>
            <w:shd w:val="clear" w:color="auto" w:fill="FFFFFF"/>
            <w:vAlign w:val="center"/>
            <w:hideMark/>
          </w:tcPr>
          <w:p w:rsidR="00B507A2" w:rsidRPr="00B507A2" w:rsidRDefault="00B507A2" w:rsidP="00B507A2">
            <w:pPr>
              <w:widowControl/>
              <w:rPr>
                <w:rFonts w:ascii="Microsoft YaHei UI" w:eastAsia="Microsoft YaHei UI" w:hAnsi="Microsoft YaHei UI" w:cs="宋体"/>
                <w:color w:val="333333"/>
                <w:spacing w:val="8"/>
                <w:kern w:val="0"/>
                <w:sz w:val="24"/>
                <w:szCs w:val="24"/>
              </w:rPr>
            </w:pPr>
          </w:p>
        </w:tc>
        <w:tc>
          <w:tcPr>
            <w:tcW w:w="439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color w:val="000000"/>
                <w:kern w:val="0"/>
                <w:sz w:val="18"/>
                <w:szCs w:val="18"/>
              </w:rPr>
              <w:t>移动物联网应用示范工程数量</w:t>
            </w:r>
          </w:p>
        </w:tc>
        <w:tc>
          <w:tcPr>
            <w:tcW w:w="368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color w:val="000000"/>
                <w:kern w:val="0"/>
                <w:sz w:val="18"/>
                <w:szCs w:val="18"/>
              </w:rPr>
              <w:t>通过省级以上政府认定的示范工程数量</w:t>
            </w:r>
          </w:p>
        </w:tc>
      </w:tr>
      <w:tr w:rsidR="00B507A2" w:rsidRPr="00B507A2" w:rsidTr="00B507A2">
        <w:trPr>
          <w:trHeight w:val="559"/>
        </w:trPr>
        <w:tc>
          <w:tcPr>
            <w:tcW w:w="70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spacing w:line="360" w:lineRule="atLeast"/>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b/>
                <w:bCs/>
                <w:color w:val="000000"/>
                <w:kern w:val="0"/>
                <w:sz w:val="18"/>
                <w:szCs w:val="18"/>
              </w:rPr>
              <w:t>4</w:t>
            </w:r>
          </w:p>
        </w:tc>
        <w:tc>
          <w:tcPr>
            <w:tcW w:w="1134"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b/>
                <w:bCs/>
                <w:color w:val="000000"/>
                <w:kern w:val="0"/>
                <w:sz w:val="18"/>
                <w:szCs w:val="18"/>
              </w:rPr>
              <w:t>网络和应用</w:t>
            </w:r>
          </w:p>
        </w:tc>
        <w:tc>
          <w:tcPr>
            <w:tcW w:w="439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color w:val="000000"/>
                <w:kern w:val="0"/>
                <w:sz w:val="18"/>
                <w:szCs w:val="18"/>
              </w:rPr>
              <w:t>移动物联网基站覆盖率</w:t>
            </w:r>
          </w:p>
        </w:tc>
        <w:tc>
          <w:tcPr>
            <w:tcW w:w="368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color w:val="000000"/>
                <w:kern w:val="0"/>
                <w:sz w:val="18"/>
                <w:szCs w:val="18"/>
              </w:rPr>
              <w:t>NB-IoT基站数量/4G基站数量</w:t>
            </w:r>
          </w:p>
        </w:tc>
      </w:tr>
      <w:tr w:rsidR="00B507A2" w:rsidRPr="00B507A2" w:rsidTr="00B507A2">
        <w:trPr>
          <w:trHeight w:val="456"/>
        </w:trPr>
        <w:tc>
          <w:tcPr>
            <w:tcW w:w="70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spacing w:line="360" w:lineRule="atLeast"/>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b/>
                <w:bCs/>
                <w:color w:val="000000"/>
                <w:kern w:val="0"/>
                <w:sz w:val="18"/>
                <w:szCs w:val="18"/>
              </w:rPr>
              <w:t>5</w:t>
            </w:r>
          </w:p>
        </w:tc>
        <w:tc>
          <w:tcPr>
            <w:tcW w:w="1134" w:type="dxa"/>
            <w:vMerge/>
            <w:tcBorders>
              <w:top w:val="nil"/>
              <w:left w:val="nil"/>
              <w:bottom w:val="single" w:sz="6" w:space="0" w:color="000000"/>
              <w:right w:val="single" w:sz="6" w:space="0" w:color="000000"/>
            </w:tcBorders>
            <w:shd w:val="clear" w:color="auto" w:fill="FFFFFF"/>
            <w:vAlign w:val="center"/>
            <w:hideMark/>
          </w:tcPr>
          <w:p w:rsidR="00B507A2" w:rsidRPr="00B507A2" w:rsidRDefault="00B507A2" w:rsidP="00B507A2">
            <w:pPr>
              <w:widowControl/>
              <w:rPr>
                <w:rFonts w:ascii="Microsoft YaHei UI" w:eastAsia="Microsoft YaHei UI" w:hAnsi="Microsoft YaHei UI" w:cs="宋体"/>
                <w:color w:val="333333"/>
                <w:spacing w:val="8"/>
                <w:kern w:val="0"/>
                <w:sz w:val="24"/>
                <w:szCs w:val="24"/>
              </w:rPr>
            </w:pPr>
          </w:p>
        </w:tc>
        <w:tc>
          <w:tcPr>
            <w:tcW w:w="439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color w:val="000000"/>
                <w:kern w:val="0"/>
                <w:sz w:val="18"/>
                <w:szCs w:val="18"/>
              </w:rPr>
              <w:t>NB-IoT/4G/5G物联连接数占物联网总连接数比例</w:t>
            </w:r>
          </w:p>
        </w:tc>
        <w:tc>
          <w:tcPr>
            <w:tcW w:w="368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color w:val="000000"/>
                <w:kern w:val="0"/>
                <w:sz w:val="18"/>
                <w:szCs w:val="18"/>
              </w:rPr>
              <w:t>NB-IoT/4G/5G物联网连接数之和，与2G/3G/4G/5G/NB全部物联网连接数之和的比例</w:t>
            </w:r>
          </w:p>
        </w:tc>
      </w:tr>
      <w:tr w:rsidR="00B507A2" w:rsidRPr="00B507A2" w:rsidTr="00B507A2">
        <w:trPr>
          <w:trHeight w:val="721"/>
        </w:trPr>
        <w:tc>
          <w:tcPr>
            <w:tcW w:w="70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spacing w:line="360" w:lineRule="atLeast"/>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b/>
                <w:bCs/>
                <w:color w:val="000000"/>
                <w:kern w:val="0"/>
                <w:sz w:val="18"/>
                <w:szCs w:val="18"/>
              </w:rPr>
              <w:t>6</w:t>
            </w:r>
          </w:p>
        </w:tc>
        <w:tc>
          <w:tcPr>
            <w:tcW w:w="1134" w:type="dxa"/>
            <w:vMerge/>
            <w:tcBorders>
              <w:top w:val="nil"/>
              <w:left w:val="nil"/>
              <w:bottom w:val="single" w:sz="6" w:space="0" w:color="000000"/>
              <w:right w:val="single" w:sz="6" w:space="0" w:color="000000"/>
            </w:tcBorders>
            <w:shd w:val="clear" w:color="auto" w:fill="FFFFFF"/>
            <w:vAlign w:val="center"/>
            <w:hideMark/>
          </w:tcPr>
          <w:p w:rsidR="00B507A2" w:rsidRPr="00B507A2" w:rsidRDefault="00B507A2" w:rsidP="00B507A2">
            <w:pPr>
              <w:widowControl/>
              <w:rPr>
                <w:rFonts w:ascii="Microsoft YaHei UI" w:eastAsia="Microsoft YaHei UI" w:hAnsi="Microsoft YaHei UI" w:cs="宋体"/>
                <w:color w:val="333333"/>
                <w:spacing w:val="8"/>
                <w:kern w:val="0"/>
                <w:sz w:val="24"/>
                <w:szCs w:val="24"/>
              </w:rPr>
            </w:pPr>
          </w:p>
        </w:tc>
        <w:tc>
          <w:tcPr>
            <w:tcW w:w="439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color w:val="000000"/>
                <w:kern w:val="0"/>
                <w:sz w:val="18"/>
                <w:szCs w:val="18"/>
              </w:rPr>
              <w:t>TOP行业移动物联应用规模部署状况</w:t>
            </w:r>
          </w:p>
        </w:tc>
        <w:tc>
          <w:tcPr>
            <w:tcW w:w="368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color w:val="000000"/>
                <w:kern w:val="0"/>
                <w:sz w:val="18"/>
                <w:szCs w:val="18"/>
              </w:rPr>
              <w:t>超过100万级市场规模数的应用个数</w:t>
            </w:r>
          </w:p>
        </w:tc>
      </w:tr>
      <w:tr w:rsidR="00B507A2" w:rsidRPr="00B507A2" w:rsidTr="00B507A2">
        <w:trPr>
          <w:trHeight w:val="574"/>
        </w:trPr>
        <w:tc>
          <w:tcPr>
            <w:tcW w:w="70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spacing w:line="360" w:lineRule="atLeast"/>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b/>
                <w:bCs/>
                <w:color w:val="000000"/>
                <w:kern w:val="0"/>
                <w:sz w:val="18"/>
                <w:szCs w:val="18"/>
              </w:rPr>
              <w:t>8</w:t>
            </w:r>
          </w:p>
        </w:tc>
        <w:tc>
          <w:tcPr>
            <w:tcW w:w="1134"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b/>
                <w:bCs/>
                <w:color w:val="000000"/>
                <w:kern w:val="0"/>
                <w:sz w:val="18"/>
                <w:szCs w:val="18"/>
              </w:rPr>
              <w:t>产业生态</w:t>
            </w:r>
          </w:p>
        </w:tc>
        <w:tc>
          <w:tcPr>
            <w:tcW w:w="439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color w:val="000000"/>
                <w:kern w:val="0"/>
                <w:sz w:val="18"/>
                <w:szCs w:val="18"/>
              </w:rPr>
              <w:t>移动物联网相关企业数量</w:t>
            </w:r>
          </w:p>
        </w:tc>
        <w:tc>
          <w:tcPr>
            <w:tcW w:w="368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color w:val="000000"/>
                <w:kern w:val="0"/>
                <w:sz w:val="18"/>
                <w:szCs w:val="18"/>
              </w:rPr>
              <w:t>提供移动物联网解决方案的企业、移动物联网产业链上下游的企业以及提供移动物联网应用服务的企业数量总和</w:t>
            </w:r>
          </w:p>
        </w:tc>
      </w:tr>
      <w:tr w:rsidR="00B507A2" w:rsidRPr="00B507A2" w:rsidTr="00B507A2">
        <w:trPr>
          <w:trHeight w:val="500"/>
        </w:trPr>
        <w:tc>
          <w:tcPr>
            <w:tcW w:w="70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spacing w:line="360" w:lineRule="atLeast"/>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b/>
                <w:bCs/>
                <w:color w:val="000000"/>
                <w:kern w:val="0"/>
                <w:sz w:val="18"/>
                <w:szCs w:val="18"/>
              </w:rPr>
              <w:t>9</w:t>
            </w:r>
          </w:p>
        </w:tc>
        <w:tc>
          <w:tcPr>
            <w:tcW w:w="1134" w:type="dxa"/>
            <w:vMerge/>
            <w:tcBorders>
              <w:top w:val="nil"/>
              <w:left w:val="nil"/>
              <w:bottom w:val="single" w:sz="6" w:space="0" w:color="000000"/>
              <w:right w:val="single" w:sz="6" w:space="0" w:color="000000"/>
            </w:tcBorders>
            <w:shd w:val="clear" w:color="auto" w:fill="FFFFFF"/>
            <w:vAlign w:val="center"/>
            <w:hideMark/>
          </w:tcPr>
          <w:p w:rsidR="00B507A2" w:rsidRPr="00B507A2" w:rsidRDefault="00B507A2" w:rsidP="00B507A2">
            <w:pPr>
              <w:widowControl/>
              <w:rPr>
                <w:rFonts w:ascii="Microsoft YaHei UI" w:eastAsia="Microsoft YaHei UI" w:hAnsi="Microsoft YaHei UI" w:cs="宋体"/>
                <w:color w:val="333333"/>
                <w:spacing w:val="8"/>
                <w:kern w:val="0"/>
                <w:sz w:val="24"/>
                <w:szCs w:val="24"/>
              </w:rPr>
            </w:pPr>
          </w:p>
        </w:tc>
        <w:tc>
          <w:tcPr>
            <w:tcW w:w="439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color w:val="000000"/>
                <w:kern w:val="0"/>
                <w:sz w:val="18"/>
                <w:szCs w:val="18"/>
              </w:rPr>
              <w:t>移动物联网产业产值占比</w:t>
            </w:r>
          </w:p>
        </w:tc>
        <w:tc>
          <w:tcPr>
            <w:tcW w:w="368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color w:val="000000"/>
                <w:kern w:val="0"/>
                <w:sz w:val="18"/>
                <w:szCs w:val="18"/>
              </w:rPr>
              <w:t>移动物联网解决方案企业的产值（产业销售收入）占GDP比例</w:t>
            </w:r>
          </w:p>
        </w:tc>
      </w:tr>
      <w:tr w:rsidR="00B507A2" w:rsidRPr="00B507A2" w:rsidTr="00B507A2">
        <w:trPr>
          <w:trHeight w:val="618"/>
        </w:trPr>
        <w:tc>
          <w:tcPr>
            <w:tcW w:w="70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spacing w:line="360" w:lineRule="atLeast"/>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b/>
                <w:bCs/>
                <w:color w:val="000000"/>
                <w:kern w:val="0"/>
                <w:sz w:val="18"/>
                <w:szCs w:val="18"/>
              </w:rPr>
              <w:t>10</w:t>
            </w:r>
          </w:p>
        </w:tc>
        <w:tc>
          <w:tcPr>
            <w:tcW w:w="1134" w:type="dxa"/>
            <w:vMerge/>
            <w:tcBorders>
              <w:top w:val="nil"/>
              <w:left w:val="nil"/>
              <w:bottom w:val="single" w:sz="6" w:space="0" w:color="000000"/>
              <w:right w:val="single" w:sz="6" w:space="0" w:color="000000"/>
            </w:tcBorders>
            <w:shd w:val="clear" w:color="auto" w:fill="FFFFFF"/>
            <w:vAlign w:val="center"/>
            <w:hideMark/>
          </w:tcPr>
          <w:p w:rsidR="00B507A2" w:rsidRPr="00B507A2" w:rsidRDefault="00B507A2" w:rsidP="00B507A2">
            <w:pPr>
              <w:widowControl/>
              <w:rPr>
                <w:rFonts w:ascii="Microsoft YaHei UI" w:eastAsia="Microsoft YaHei UI" w:hAnsi="Microsoft YaHei UI" w:cs="宋体"/>
                <w:color w:val="333333"/>
                <w:spacing w:val="8"/>
                <w:kern w:val="0"/>
                <w:sz w:val="24"/>
                <w:szCs w:val="24"/>
              </w:rPr>
            </w:pPr>
          </w:p>
        </w:tc>
        <w:tc>
          <w:tcPr>
            <w:tcW w:w="439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color w:val="000000"/>
                <w:kern w:val="0"/>
                <w:sz w:val="18"/>
                <w:szCs w:val="18"/>
              </w:rPr>
              <w:t>公共服务平台数量</w:t>
            </w:r>
          </w:p>
        </w:tc>
        <w:tc>
          <w:tcPr>
            <w:tcW w:w="368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color w:val="000000"/>
                <w:kern w:val="0"/>
                <w:sz w:val="18"/>
                <w:szCs w:val="18"/>
              </w:rPr>
              <w:t>提供物联网相关标准提供认证与服务的平台企业机构的数量，含省级创新中心、开放实验室、联盟、协会等</w:t>
            </w:r>
          </w:p>
        </w:tc>
      </w:tr>
      <w:tr w:rsidR="00B507A2" w:rsidRPr="00B507A2" w:rsidTr="00B507A2">
        <w:trPr>
          <w:trHeight w:val="456"/>
        </w:trPr>
        <w:tc>
          <w:tcPr>
            <w:tcW w:w="70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spacing w:line="360" w:lineRule="atLeast"/>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b/>
                <w:bCs/>
                <w:color w:val="000000"/>
                <w:kern w:val="0"/>
                <w:sz w:val="18"/>
                <w:szCs w:val="18"/>
              </w:rPr>
              <w:t>11</w:t>
            </w:r>
          </w:p>
        </w:tc>
        <w:tc>
          <w:tcPr>
            <w:tcW w:w="1134"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b/>
                <w:bCs/>
                <w:color w:val="000000"/>
                <w:kern w:val="0"/>
                <w:sz w:val="18"/>
                <w:szCs w:val="18"/>
              </w:rPr>
              <w:t>创新和人才</w:t>
            </w:r>
          </w:p>
        </w:tc>
        <w:tc>
          <w:tcPr>
            <w:tcW w:w="439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color w:val="000000"/>
                <w:kern w:val="0"/>
                <w:sz w:val="18"/>
                <w:szCs w:val="18"/>
              </w:rPr>
              <w:t>相关专利申请及授权数量</w:t>
            </w:r>
          </w:p>
        </w:tc>
        <w:tc>
          <w:tcPr>
            <w:tcW w:w="368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color w:val="000000"/>
                <w:kern w:val="0"/>
                <w:sz w:val="18"/>
                <w:szCs w:val="18"/>
              </w:rPr>
              <w:t>通过我国专利局申请的移动物联网专利数量和授权数量（当前以申请专利数为主，后续以授权专利数为主）</w:t>
            </w:r>
          </w:p>
        </w:tc>
      </w:tr>
      <w:tr w:rsidR="00B507A2" w:rsidRPr="00B507A2" w:rsidTr="00B507A2">
        <w:trPr>
          <w:trHeight w:val="647"/>
        </w:trPr>
        <w:tc>
          <w:tcPr>
            <w:tcW w:w="70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spacing w:line="360" w:lineRule="atLeast"/>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b/>
                <w:bCs/>
                <w:color w:val="000000"/>
                <w:kern w:val="0"/>
                <w:sz w:val="18"/>
                <w:szCs w:val="18"/>
              </w:rPr>
              <w:t>12</w:t>
            </w:r>
          </w:p>
        </w:tc>
        <w:tc>
          <w:tcPr>
            <w:tcW w:w="1134" w:type="dxa"/>
            <w:vMerge/>
            <w:tcBorders>
              <w:top w:val="nil"/>
              <w:left w:val="nil"/>
              <w:bottom w:val="single" w:sz="6" w:space="0" w:color="000000"/>
              <w:right w:val="single" w:sz="6" w:space="0" w:color="000000"/>
            </w:tcBorders>
            <w:shd w:val="clear" w:color="auto" w:fill="FFFFFF"/>
            <w:vAlign w:val="center"/>
            <w:hideMark/>
          </w:tcPr>
          <w:p w:rsidR="00B507A2" w:rsidRPr="00B507A2" w:rsidRDefault="00B507A2" w:rsidP="00B507A2">
            <w:pPr>
              <w:widowControl/>
              <w:rPr>
                <w:rFonts w:ascii="Microsoft YaHei UI" w:eastAsia="Microsoft YaHei UI" w:hAnsi="Microsoft YaHei UI" w:cs="宋体"/>
                <w:color w:val="333333"/>
                <w:spacing w:val="8"/>
                <w:kern w:val="0"/>
                <w:sz w:val="24"/>
                <w:szCs w:val="24"/>
              </w:rPr>
            </w:pPr>
          </w:p>
        </w:tc>
        <w:tc>
          <w:tcPr>
            <w:tcW w:w="439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color w:val="000000"/>
                <w:kern w:val="0"/>
                <w:sz w:val="18"/>
                <w:szCs w:val="18"/>
              </w:rPr>
              <w:t>行业应用标准制定数量</w:t>
            </w:r>
          </w:p>
        </w:tc>
        <w:tc>
          <w:tcPr>
            <w:tcW w:w="368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color w:val="000000"/>
                <w:kern w:val="0"/>
                <w:sz w:val="18"/>
                <w:szCs w:val="18"/>
              </w:rPr>
              <w:t>具体指面向垂直行业应用的行标、团标及地方标准，用于衡量移动物联网垂直行业成熟度。（根据负责单位的归属地计算）</w:t>
            </w:r>
          </w:p>
        </w:tc>
      </w:tr>
      <w:tr w:rsidR="00B507A2" w:rsidRPr="00B507A2" w:rsidTr="00B507A2">
        <w:trPr>
          <w:trHeight w:val="647"/>
        </w:trPr>
        <w:tc>
          <w:tcPr>
            <w:tcW w:w="70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spacing w:line="360" w:lineRule="atLeast"/>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b/>
                <w:bCs/>
                <w:color w:val="000000"/>
                <w:kern w:val="0"/>
                <w:sz w:val="18"/>
                <w:szCs w:val="18"/>
              </w:rPr>
              <w:t>13</w:t>
            </w:r>
          </w:p>
        </w:tc>
        <w:tc>
          <w:tcPr>
            <w:tcW w:w="1134" w:type="dxa"/>
            <w:vMerge/>
            <w:tcBorders>
              <w:top w:val="nil"/>
              <w:left w:val="nil"/>
              <w:bottom w:val="single" w:sz="6" w:space="0" w:color="000000"/>
              <w:right w:val="single" w:sz="6" w:space="0" w:color="000000"/>
            </w:tcBorders>
            <w:shd w:val="clear" w:color="auto" w:fill="FFFFFF"/>
            <w:vAlign w:val="center"/>
            <w:hideMark/>
          </w:tcPr>
          <w:p w:rsidR="00B507A2" w:rsidRPr="00B507A2" w:rsidRDefault="00B507A2" w:rsidP="00B507A2">
            <w:pPr>
              <w:widowControl/>
              <w:rPr>
                <w:rFonts w:ascii="Microsoft YaHei UI" w:eastAsia="Microsoft YaHei UI" w:hAnsi="Microsoft YaHei UI" w:cs="宋体"/>
                <w:color w:val="333333"/>
                <w:spacing w:val="8"/>
                <w:kern w:val="0"/>
                <w:sz w:val="24"/>
                <w:szCs w:val="24"/>
              </w:rPr>
            </w:pPr>
          </w:p>
        </w:tc>
        <w:tc>
          <w:tcPr>
            <w:tcW w:w="439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color w:val="000000"/>
                <w:kern w:val="0"/>
                <w:sz w:val="18"/>
                <w:szCs w:val="18"/>
              </w:rPr>
              <w:t>移动物联网专业的高校数量</w:t>
            </w:r>
          </w:p>
        </w:tc>
        <w:tc>
          <w:tcPr>
            <w:tcW w:w="368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507A2" w:rsidRPr="00B507A2" w:rsidRDefault="00B507A2" w:rsidP="00B507A2">
            <w:pPr>
              <w:widowControl/>
              <w:wordWrap w:val="0"/>
              <w:jc w:val="center"/>
              <w:rPr>
                <w:rFonts w:ascii="Microsoft YaHei UI" w:eastAsia="Microsoft YaHei UI" w:hAnsi="Microsoft YaHei UI" w:cs="宋体" w:hint="eastAsia"/>
                <w:color w:val="333333"/>
                <w:spacing w:val="8"/>
                <w:kern w:val="0"/>
                <w:sz w:val="24"/>
                <w:szCs w:val="24"/>
              </w:rPr>
            </w:pPr>
            <w:r w:rsidRPr="00B507A2">
              <w:rPr>
                <w:rFonts w:ascii="微软雅黑" w:eastAsia="微软雅黑" w:hAnsi="微软雅黑" w:cs="宋体" w:hint="eastAsia"/>
                <w:color w:val="000000"/>
                <w:kern w:val="0"/>
                <w:sz w:val="18"/>
                <w:szCs w:val="18"/>
              </w:rPr>
              <w:t>开设物联网相关专业的高校数量，仅包含通过教育部门可查询的普通高校，包含中央部门办、本科院校和高职（专科）院校</w:t>
            </w:r>
          </w:p>
        </w:tc>
      </w:tr>
    </w:tbl>
    <w:p w:rsidR="00193449" w:rsidRPr="00B507A2" w:rsidRDefault="00193449"/>
    <w:sectPr w:rsidR="00193449" w:rsidRPr="00B507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BC6" w:rsidRDefault="00864BC6" w:rsidP="00B507A2">
      <w:r>
        <w:separator/>
      </w:r>
    </w:p>
  </w:endnote>
  <w:endnote w:type="continuationSeparator" w:id="0">
    <w:p w:rsidR="00864BC6" w:rsidRDefault="00864BC6" w:rsidP="00B5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BC6" w:rsidRDefault="00864BC6" w:rsidP="00B507A2">
      <w:r>
        <w:separator/>
      </w:r>
    </w:p>
  </w:footnote>
  <w:footnote w:type="continuationSeparator" w:id="0">
    <w:p w:rsidR="00864BC6" w:rsidRDefault="00864BC6" w:rsidP="00B50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961"/>
    <w:rsid w:val="00193449"/>
    <w:rsid w:val="00525885"/>
    <w:rsid w:val="00835961"/>
    <w:rsid w:val="00864BC6"/>
    <w:rsid w:val="008D7596"/>
    <w:rsid w:val="00B50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66A87A-6D8D-4125-A813-8AE35683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07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07A2"/>
    <w:rPr>
      <w:sz w:val="18"/>
      <w:szCs w:val="18"/>
    </w:rPr>
  </w:style>
  <w:style w:type="paragraph" w:styleId="a4">
    <w:name w:val="footer"/>
    <w:basedOn w:val="a"/>
    <w:link w:val="Char0"/>
    <w:uiPriority w:val="99"/>
    <w:unhideWhenUsed/>
    <w:rsid w:val="00B507A2"/>
    <w:pPr>
      <w:tabs>
        <w:tab w:val="center" w:pos="4153"/>
        <w:tab w:val="right" w:pos="8306"/>
      </w:tabs>
      <w:snapToGrid w:val="0"/>
      <w:jc w:val="left"/>
    </w:pPr>
    <w:rPr>
      <w:sz w:val="18"/>
      <w:szCs w:val="18"/>
    </w:rPr>
  </w:style>
  <w:style w:type="character" w:customStyle="1" w:styleId="Char0">
    <w:name w:val="页脚 Char"/>
    <w:basedOn w:val="a0"/>
    <w:link w:val="a4"/>
    <w:uiPriority w:val="99"/>
    <w:rsid w:val="00B507A2"/>
    <w:rPr>
      <w:sz w:val="18"/>
      <w:szCs w:val="18"/>
    </w:rPr>
  </w:style>
  <w:style w:type="paragraph" w:styleId="a5">
    <w:name w:val="Normal (Web)"/>
    <w:basedOn w:val="a"/>
    <w:uiPriority w:val="99"/>
    <w:semiHidden/>
    <w:unhideWhenUsed/>
    <w:rsid w:val="00B507A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507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30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2020-05-12T08:17:00Z</dcterms:created>
  <dcterms:modified xsi:type="dcterms:W3CDTF">2020-05-12T08:19:00Z</dcterms:modified>
</cp:coreProperties>
</file>